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677D" w14:textId="53AECE69" w:rsidR="00246D84" w:rsidRDefault="00246D84" w:rsidP="00B163DA">
      <w:pPr>
        <w:spacing w:after="0"/>
        <w:ind w:firstLine="708"/>
        <w:jc w:val="both"/>
        <w:rPr>
          <w:b/>
          <w:bCs/>
          <w:sz w:val="20"/>
          <w:szCs w:val="20"/>
        </w:rPr>
      </w:pPr>
      <w:r w:rsidRPr="002240DD">
        <w:rPr>
          <w:noProof/>
          <w:lang w:val="en-US"/>
        </w:rPr>
        <w:drawing>
          <wp:inline distT="0" distB="0" distL="0" distR="0" wp14:anchorId="74318395" wp14:editId="2A91EB7C">
            <wp:extent cx="5329518" cy="922417"/>
            <wp:effectExtent l="0" t="0" r="508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64" cy="9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69301" w14:textId="77777777" w:rsidR="00723C80" w:rsidRDefault="00723C80" w:rsidP="00B163DA">
      <w:pPr>
        <w:spacing w:after="0"/>
        <w:ind w:firstLine="708"/>
        <w:jc w:val="both"/>
        <w:rPr>
          <w:b/>
          <w:bCs/>
          <w:sz w:val="20"/>
          <w:szCs w:val="20"/>
        </w:rPr>
      </w:pPr>
    </w:p>
    <w:p w14:paraId="3057D606" w14:textId="77777777" w:rsidR="00982E44" w:rsidRDefault="00982E44" w:rsidP="00B163DA">
      <w:pPr>
        <w:spacing w:after="0"/>
        <w:ind w:firstLine="708"/>
        <w:jc w:val="both"/>
        <w:rPr>
          <w:b/>
          <w:bCs/>
          <w:sz w:val="20"/>
          <w:szCs w:val="20"/>
        </w:rPr>
      </w:pPr>
    </w:p>
    <w:p w14:paraId="35798075" w14:textId="43F16F86" w:rsidR="00723C80" w:rsidRDefault="00723C80" w:rsidP="00982E44">
      <w:pPr>
        <w:spacing w:after="0"/>
        <w:ind w:right="-23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C80">
        <w:rPr>
          <w:rFonts w:ascii="Times New Roman" w:hAnsi="Times New Roman" w:cs="Times New Roman"/>
          <w:b/>
          <w:bCs/>
          <w:sz w:val="24"/>
          <w:szCs w:val="24"/>
        </w:rPr>
        <w:t>CONVEN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23C80">
        <w:rPr>
          <w:rFonts w:ascii="Times New Roman" w:hAnsi="Times New Roman" w:cs="Times New Roman"/>
          <w:b/>
          <w:bCs/>
          <w:sz w:val="24"/>
          <w:szCs w:val="24"/>
        </w:rPr>
        <w:t xml:space="preserve">IE DE SECURITATE A MUNCII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723C80">
        <w:rPr>
          <w:rFonts w:ascii="Times New Roman" w:hAnsi="Times New Roman" w:cs="Times New Roman"/>
          <w:b/>
          <w:bCs/>
          <w:sz w:val="24"/>
          <w:szCs w:val="24"/>
        </w:rPr>
        <w:t>I PSI</w:t>
      </w:r>
    </w:p>
    <w:p w14:paraId="7E54113A" w14:textId="77777777" w:rsidR="00723C80" w:rsidRPr="00723C80" w:rsidRDefault="00723C80" w:rsidP="00982E44">
      <w:pPr>
        <w:spacing w:after="0"/>
        <w:ind w:right="-23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1D41C" w14:textId="07BD1CA8" w:rsidR="00723C80" w:rsidRDefault="00723C80" w:rsidP="00982E44">
      <w:pPr>
        <w:spacing w:after="0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Anex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acordul cadru </w:t>
      </w:r>
      <w:r w:rsidRPr="00723C80">
        <w:rPr>
          <w:rFonts w:ascii="Times New Roman" w:hAnsi="Times New Roman" w:cs="Times New Roman"/>
          <w:sz w:val="24"/>
          <w:szCs w:val="24"/>
        </w:rPr>
        <w:t>de prest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ri servicii nr. .…………/………………..</w:t>
      </w:r>
    </w:p>
    <w:p w14:paraId="09AEC4CE" w14:textId="77777777" w:rsidR="00723C80" w:rsidRDefault="00723C80" w:rsidP="00982E44">
      <w:pPr>
        <w:spacing w:after="0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75DADA" w14:textId="77777777" w:rsidR="00723C80" w:rsidRPr="00723C80" w:rsidRDefault="00723C80" w:rsidP="00982E44">
      <w:pPr>
        <w:spacing w:after="0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FE0CB" w14:textId="6C5012AA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ncheiat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ast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zi ...................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baza prevederilor Legii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723C80">
        <w:rPr>
          <w:rFonts w:ascii="Times New Roman" w:hAnsi="Times New Roman" w:cs="Times New Roman"/>
          <w:sz w:val="24"/>
          <w:szCs w:val="24"/>
        </w:rPr>
        <w:t xml:space="preserve"> 319/2006, privind securitatea</w:t>
      </w:r>
      <w:r>
        <w:rPr>
          <w:rFonts w:ascii="Times New Roman" w:hAnsi="Times New Roman" w:cs="Times New Roman"/>
          <w:sz w:val="24"/>
          <w:szCs w:val="24"/>
        </w:rPr>
        <w:t xml:space="preserve"> ș</w:t>
      </w:r>
      <w:r w:rsidRPr="00723C80"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munc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, a HG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Pr="00723C80">
        <w:rPr>
          <w:rFonts w:ascii="Times New Roman" w:hAnsi="Times New Roman" w:cs="Times New Roman"/>
          <w:sz w:val="24"/>
          <w:szCs w:val="24"/>
        </w:rPr>
        <w:t xml:space="preserve">1425/2006 norme de aplicare a Legii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Pr="00723C80">
        <w:rPr>
          <w:rFonts w:ascii="Times New Roman" w:hAnsi="Times New Roman" w:cs="Times New Roman"/>
          <w:sz w:val="24"/>
          <w:szCs w:val="24"/>
        </w:rPr>
        <w:t xml:space="preserve">319/2006,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prevederilor legale privind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723C80">
        <w:rPr>
          <w:rFonts w:ascii="Times New Roman" w:hAnsi="Times New Roman" w:cs="Times New Roman"/>
          <w:sz w:val="24"/>
          <w:szCs w:val="24"/>
        </w:rPr>
        <w:t>iile de urgen</w:t>
      </w:r>
      <w:r>
        <w:rPr>
          <w:rFonts w:ascii="Times New Roman" w:hAnsi="Times New Roman" w:cs="Times New Roman"/>
          <w:sz w:val="24"/>
          <w:szCs w:val="24"/>
        </w:rPr>
        <w:t>ță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ntre:</w:t>
      </w:r>
    </w:p>
    <w:p w14:paraId="6F05AEB4" w14:textId="77777777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4CFA870" w14:textId="0A25ABF5" w:rsidR="00723C80" w:rsidRPr="00982E44" w:rsidRDefault="00723C80" w:rsidP="00982E44">
      <w:pPr>
        <w:pStyle w:val="ListParagraph"/>
        <w:numPr>
          <w:ilvl w:val="0"/>
          <w:numId w:val="5"/>
        </w:numPr>
        <w:spacing w:after="0"/>
        <w:ind w:right="-23" w:hanging="720"/>
        <w:jc w:val="both"/>
        <w:rPr>
          <w:rFonts w:ascii="Times New Roman" w:hAnsi="Times New Roman" w:cs="Times New Roman"/>
          <w:sz w:val="24"/>
          <w:szCs w:val="24"/>
        </w:rPr>
      </w:pPr>
      <w:r w:rsidRPr="00982E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2556B335" w14:textId="77777777" w:rsidR="00982E44" w:rsidRPr="00982E44" w:rsidRDefault="00982E44" w:rsidP="00982E44">
      <w:pPr>
        <w:pStyle w:val="ListParagraph"/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D7D7840" w14:textId="52DCD54B" w:rsid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 w:rsidR="00723C80" w:rsidRPr="00723C80">
        <w:rPr>
          <w:rFonts w:ascii="Times New Roman" w:hAnsi="Times New Roman" w:cs="Times New Roman"/>
          <w:sz w:val="24"/>
          <w:szCs w:val="24"/>
        </w:rPr>
        <w:t>i</w:t>
      </w:r>
    </w:p>
    <w:p w14:paraId="70FA5491" w14:textId="77777777" w:rsidR="00982E44" w:rsidRP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218D073" w14:textId="77777777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b/>
          <w:color w:val="070707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2) </w:t>
      </w:r>
      <w:r w:rsidRPr="000C28BD">
        <w:rPr>
          <w:rFonts w:ascii="Times New Roman" w:hAnsi="Times New Roman" w:cs="Times New Roman"/>
          <w:b/>
          <w:bCs/>
          <w:sz w:val="24"/>
          <w:szCs w:val="24"/>
        </w:rPr>
        <w:t>Serviciul Public de Interes Local pentru Administrarea Parcărilor Publice din Municipiul Timișoara -TIMPARK</w:t>
      </w:r>
      <w:r w:rsidRPr="00723C80">
        <w:rPr>
          <w:rFonts w:ascii="Times New Roman" w:hAnsi="Times New Roman" w:cs="Times New Roman"/>
          <w:sz w:val="24"/>
          <w:szCs w:val="24"/>
        </w:rPr>
        <w:t xml:space="preserve"> reprezentat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</w:t>
      </w:r>
      <w:r w:rsidRPr="00982E44">
        <w:rPr>
          <w:rFonts w:ascii="Times New Roman" w:hAnsi="Times New Roman" w:cs="Times New Roman"/>
          <w:b/>
          <w:bCs/>
          <w:sz w:val="24"/>
          <w:szCs w:val="24"/>
        </w:rPr>
        <w:t>Ionel Ursu</w:t>
      </w:r>
      <w:r w:rsidRPr="000C28BD">
        <w:rPr>
          <w:rFonts w:ascii="Times New Roman" w:hAnsi="Times New Roman" w:cs="Times New Roman"/>
          <w:sz w:val="24"/>
          <w:szCs w:val="24"/>
        </w:rPr>
        <w:t xml:space="preserve"> - director</w:t>
      </w:r>
      <w:r w:rsidRPr="000C28BD">
        <w:rPr>
          <w:rFonts w:ascii="Times New Roman" w:hAnsi="Times New Roman" w:cs="Times New Roman"/>
          <w:color w:val="070707"/>
          <w:sz w:val="24"/>
          <w:szCs w:val="24"/>
        </w:rPr>
        <w:t>,</w:t>
      </w:r>
      <w:r w:rsidRPr="000C28BD">
        <w:rPr>
          <w:rFonts w:ascii="Times New Roman" w:hAnsi="Times New Roman" w:cs="Times New Roman"/>
          <w:color w:val="070707"/>
          <w:spacing w:val="40"/>
          <w:sz w:val="24"/>
          <w:szCs w:val="24"/>
        </w:rPr>
        <w:t xml:space="preserve"> </w:t>
      </w:r>
      <w:r w:rsidRPr="000C28BD">
        <w:rPr>
          <w:rFonts w:ascii="Times New Roman" w:hAnsi="Times New Roman" w:cs="Times New Roman"/>
          <w:color w:val="070707"/>
          <w:sz w:val="24"/>
          <w:szCs w:val="24"/>
        </w:rPr>
        <w:t xml:space="preserve">în calitate de </w:t>
      </w:r>
      <w:r w:rsidRPr="000C28BD">
        <w:rPr>
          <w:rFonts w:ascii="Times New Roman" w:hAnsi="Times New Roman" w:cs="Times New Roman"/>
          <w:b/>
          <w:color w:val="070707"/>
          <w:sz w:val="24"/>
          <w:szCs w:val="24"/>
        </w:rPr>
        <w:t>autoritate</w:t>
      </w:r>
      <w:r w:rsidRPr="000C28BD">
        <w:rPr>
          <w:rFonts w:ascii="Times New Roman" w:hAnsi="Times New Roman" w:cs="Times New Roman"/>
          <w:b/>
          <w:color w:val="070707"/>
          <w:spacing w:val="34"/>
          <w:sz w:val="24"/>
          <w:szCs w:val="24"/>
        </w:rPr>
        <w:t xml:space="preserve"> </w:t>
      </w:r>
      <w:r w:rsidRPr="000C28BD">
        <w:rPr>
          <w:rFonts w:ascii="Times New Roman" w:hAnsi="Times New Roman" w:cs="Times New Roman"/>
          <w:b/>
          <w:color w:val="070707"/>
          <w:sz w:val="24"/>
          <w:szCs w:val="24"/>
        </w:rPr>
        <w:t>contractantă-promitentă</w:t>
      </w:r>
    </w:p>
    <w:p w14:paraId="629D572E" w14:textId="77777777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b/>
          <w:color w:val="070707"/>
          <w:sz w:val="24"/>
          <w:szCs w:val="24"/>
        </w:rPr>
      </w:pPr>
    </w:p>
    <w:p w14:paraId="4865B7CA" w14:textId="712CE849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 Valabilă pentru executarea serviciilor de pază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obiectiv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723C80">
        <w:rPr>
          <w:rFonts w:ascii="Times New Roman" w:hAnsi="Times New Roman" w:cs="Times New Roman"/>
          <w:sz w:val="24"/>
          <w:szCs w:val="24"/>
        </w:rPr>
        <w:t xml:space="preserve"> situat în </w:t>
      </w:r>
      <w:r w:rsidRPr="000C28BD">
        <w:rPr>
          <w:rFonts w:ascii="Times New Roman" w:hAnsi="Times New Roman" w:cs="Times New Roman"/>
          <w:color w:val="030303"/>
          <w:sz w:val="24"/>
          <w:szCs w:val="24"/>
        </w:rPr>
        <w:t>Timișoara, Calea Șagului, nr. 147/E – Biroul Ridicări Auto</w:t>
      </w:r>
      <w:r w:rsidRPr="00723C80">
        <w:rPr>
          <w:rFonts w:ascii="Times New Roman" w:hAnsi="Times New Roman" w:cs="Times New Roman"/>
          <w:sz w:val="24"/>
          <w:szCs w:val="24"/>
        </w:rPr>
        <w:t>, începand cu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semnării prezentei, în scopul prevenirii accidentelor de muncă, accidentelor tehnice, a bolilor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profesionale şi a incendiilor.</w:t>
      </w:r>
    </w:p>
    <w:p w14:paraId="41D7FA4F" w14:textId="77777777" w:rsidR="00982E44" w:rsidRP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1489415" w14:textId="77777777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E44">
        <w:rPr>
          <w:rFonts w:ascii="Times New Roman" w:hAnsi="Times New Roman" w:cs="Times New Roman"/>
          <w:b/>
          <w:bCs/>
          <w:sz w:val="24"/>
          <w:szCs w:val="24"/>
        </w:rPr>
        <w:t xml:space="preserve"> Art. I. SARCINILE CONTRACTANTULUI</w:t>
      </w:r>
    </w:p>
    <w:p w14:paraId="47B54CF2" w14:textId="77777777" w:rsidR="00982E44" w:rsidRPr="00982E44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ACD98" w14:textId="49E662C5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Personalul care execută paza în obiectivul de mai sus, este considerat personal aflat în</w:t>
      </w:r>
      <w:r w:rsidR="00CD3201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îndeplinirea sarcinilor de serviciu la Autoritatea contractantă.</w:t>
      </w:r>
    </w:p>
    <w:p w14:paraId="7BDDF336" w14:textId="77777777" w:rsidR="00CD3201" w:rsidRPr="00723C80" w:rsidRDefault="00CD3201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079F631" w14:textId="4A2E3BF3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Contractantul are urmatoarele obliga</w:t>
      </w:r>
      <w:r w:rsidR="00CD3201">
        <w:rPr>
          <w:rFonts w:ascii="Times New Roman" w:hAnsi="Times New Roman" w:cs="Times New Roman"/>
          <w:sz w:val="24"/>
          <w:szCs w:val="24"/>
        </w:rPr>
        <w:t>ț</w:t>
      </w:r>
      <w:r w:rsidRPr="00723C80">
        <w:rPr>
          <w:rFonts w:ascii="Times New Roman" w:hAnsi="Times New Roman" w:cs="Times New Roman"/>
          <w:sz w:val="24"/>
          <w:szCs w:val="24"/>
        </w:rPr>
        <w:t xml:space="preserve">ii </w:t>
      </w:r>
      <w:r w:rsidR="00CD3201"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 xml:space="preserve">n ceea ce priveste securitatea </w:t>
      </w:r>
      <w:r w:rsidR="00CD3201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s</w:t>
      </w:r>
      <w:r w:rsidR="00CD3201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n</w:t>
      </w:r>
      <w:r w:rsidR="00CD3201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CD3201"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munc</w:t>
      </w:r>
      <w:r w:rsidR="00CD3201">
        <w:rPr>
          <w:rFonts w:ascii="Times New Roman" w:hAnsi="Times New Roman" w:cs="Times New Roman"/>
          <w:sz w:val="24"/>
          <w:szCs w:val="24"/>
        </w:rPr>
        <w:t xml:space="preserve">ă </w:t>
      </w:r>
      <w:r w:rsidRPr="00723C80">
        <w:rPr>
          <w:rFonts w:ascii="Times New Roman" w:hAnsi="Times New Roman" w:cs="Times New Roman"/>
          <w:sz w:val="24"/>
          <w:szCs w:val="24"/>
        </w:rPr>
        <w:t xml:space="preserve">precum </w:t>
      </w:r>
      <w:r w:rsidR="00CD3201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situa</w:t>
      </w:r>
      <w:r w:rsidR="00CD3201">
        <w:rPr>
          <w:rFonts w:ascii="Times New Roman" w:hAnsi="Times New Roman" w:cs="Times New Roman"/>
          <w:sz w:val="24"/>
          <w:szCs w:val="24"/>
        </w:rPr>
        <w:t>ț</w:t>
      </w:r>
      <w:r w:rsidRPr="00723C80">
        <w:rPr>
          <w:rFonts w:ascii="Times New Roman" w:hAnsi="Times New Roman" w:cs="Times New Roman"/>
          <w:sz w:val="24"/>
          <w:szCs w:val="24"/>
        </w:rPr>
        <w:t>iile de urgen</w:t>
      </w:r>
      <w:r w:rsidR="00CD3201">
        <w:rPr>
          <w:rFonts w:ascii="Times New Roman" w:hAnsi="Times New Roman" w:cs="Times New Roman"/>
          <w:sz w:val="24"/>
          <w:szCs w:val="24"/>
        </w:rPr>
        <w:t>ță</w:t>
      </w:r>
      <w:r w:rsidRPr="00723C80">
        <w:rPr>
          <w:rFonts w:ascii="Times New Roman" w:hAnsi="Times New Roman" w:cs="Times New Roman"/>
          <w:sz w:val="24"/>
          <w:szCs w:val="24"/>
        </w:rPr>
        <w:t>:</w:t>
      </w:r>
    </w:p>
    <w:p w14:paraId="0517CA50" w14:textId="1C0FA4A4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1. S</w:t>
      </w:r>
      <w:r w:rsidR="00CD3201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asigure luarea tuturor măsurilor tehnice, organizatorice de supraveghere în ceea ce</w:t>
      </w:r>
      <w:r w:rsidR="00CD3201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priveste zona de pază, precum </w:t>
      </w:r>
      <w:r w:rsidR="00CD3201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aplicarea tuturor prevederilor normelor de securitate a</w:t>
      </w:r>
      <w:r w:rsidR="00CD3201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muncii în vigoare, specifice activităţii ce se va executa.</w:t>
      </w:r>
    </w:p>
    <w:p w14:paraId="652E6D1E" w14:textId="07C9C20B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2. Să instruiască personalul asupra reglementarilor de securitate </w:t>
      </w:r>
      <w:r w:rsidR="00CD3201">
        <w:rPr>
          <w:rFonts w:ascii="Times New Roman" w:hAnsi="Times New Roman" w:cs="Times New Roman"/>
          <w:sz w:val="24"/>
          <w:szCs w:val="24"/>
        </w:rPr>
        <w:t>ș</w:t>
      </w:r>
      <w:r w:rsidR="00CD3201" w:rsidRPr="00723C80">
        <w:rPr>
          <w:rFonts w:ascii="Times New Roman" w:hAnsi="Times New Roman" w:cs="Times New Roman"/>
          <w:sz w:val="24"/>
          <w:szCs w:val="24"/>
        </w:rPr>
        <w:t>i s</w:t>
      </w:r>
      <w:r w:rsidR="00CD3201">
        <w:rPr>
          <w:rFonts w:ascii="Times New Roman" w:hAnsi="Times New Roman" w:cs="Times New Roman"/>
          <w:sz w:val="24"/>
          <w:szCs w:val="24"/>
        </w:rPr>
        <w:t>ă</w:t>
      </w:r>
      <w:r w:rsidR="00CD3201" w:rsidRPr="00723C80">
        <w:rPr>
          <w:rFonts w:ascii="Times New Roman" w:hAnsi="Times New Roman" w:cs="Times New Roman"/>
          <w:sz w:val="24"/>
          <w:szCs w:val="24"/>
        </w:rPr>
        <w:t>n</w:t>
      </w:r>
      <w:r w:rsidR="00CD3201">
        <w:rPr>
          <w:rFonts w:ascii="Times New Roman" w:hAnsi="Times New Roman" w:cs="Times New Roman"/>
          <w:sz w:val="24"/>
          <w:szCs w:val="24"/>
        </w:rPr>
        <w:t>ă</w:t>
      </w:r>
      <w:r w:rsidR="00CD3201"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CD3201">
        <w:rPr>
          <w:rFonts w:ascii="Times New Roman" w:hAnsi="Times New Roman" w:cs="Times New Roman"/>
          <w:sz w:val="24"/>
          <w:szCs w:val="24"/>
        </w:rPr>
        <w:t>î</w:t>
      </w:r>
      <w:r w:rsidR="00CD3201" w:rsidRPr="00723C80">
        <w:rPr>
          <w:rFonts w:ascii="Times New Roman" w:hAnsi="Times New Roman" w:cs="Times New Roman"/>
          <w:sz w:val="24"/>
          <w:szCs w:val="24"/>
        </w:rPr>
        <w:t>n munc</w:t>
      </w:r>
      <w:r w:rsidR="00CD3201">
        <w:rPr>
          <w:rFonts w:ascii="Times New Roman" w:hAnsi="Times New Roman" w:cs="Times New Roman"/>
          <w:sz w:val="24"/>
          <w:szCs w:val="24"/>
        </w:rPr>
        <w:t xml:space="preserve">ă </w:t>
      </w:r>
      <w:r w:rsidRPr="00723C80">
        <w:rPr>
          <w:rFonts w:ascii="Times New Roman" w:hAnsi="Times New Roman" w:cs="Times New Roman"/>
          <w:sz w:val="24"/>
          <w:szCs w:val="24"/>
        </w:rPr>
        <w:t xml:space="preserve">precum </w:t>
      </w:r>
      <w:r w:rsidR="00CD3201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 xml:space="preserve">i pentru situaţii de urgenţă (SU), ce trebuie respectate </w:t>
      </w:r>
      <w:r w:rsidR="003462A6"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activitatea pe care</w:t>
      </w:r>
      <w:r w:rsidR="003462A6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acesta o desfăşoar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.</w:t>
      </w:r>
    </w:p>
    <w:p w14:paraId="2F2E74A4" w14:textId="48FE4FA8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3. Să respecte cu stricteţe prevederile procesului verbal de predare a amplasamentului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privind stabilirea şi delimitarea zonei de pază şi a normelor de securitate </w:t>
      </w:r>
      <w:r w:rsidR="00021DF3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SU, specifice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activităţii desfăşurate.</w:t>
      </w:r>
    </w:p>
    <w:p w14:paraId="68D2899C" w14:textId="4C7CEAC8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4. Să ia toate măsurile de securitate </w:t>
      </w:r>
      <w:r w:rsidR="00021DF3">
        <w:rPr>
          <w:rFonts w:ascii="Times New Roman" w:hAnsi="Times New Roman" w:cs="Times New Roman"/>
          <w:sz w:val="24"/>
          <w:szCs w:val="24"/>
        </w:rPr>
        <w:t>ș</w:t>
      </w:r>
      <w:r w:rsidR="00021DF3" w:rsidRPr="00723C80">
        <w:rPr>
          <w:rFonts w:ascii="Times New Roman" w:hAnsi="Times New Roman" w:cs="Times New Roman"/>
          <w:sz w:val="24"/>
          <w:szCs w:val="24"/>
        </w:rPr>
        <w:t>i s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="00021DF3" w:rsidRPr="00723C80">
        <w:rPr>
          <w:rFonts w:ascii="Times New Roman" w:hAnsi="Times New Roman" w:cs="Times New Roman"/>
          <w:sz w:val="24"/>
          <w:szCs w:val="24"/>
        </w:rPr>
        <w:t>n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="00021DF3"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021DF3">
        <w:rPr>
          <w:rFonts w:ascii="Times New Roman" w:hAnsi="Times New Roman" w:cs="Times New Roman"/>
          <w:sz w:val="24"/>
          <w:szCs w:val="24"/>
        </w:rPr>
        <w:t>î</w:t>
      </w:r>
      <w:r w:rsidR="00021DF3" w:rsidRPr="00723C80">
        <w:rPr>
          <w:rFonts w:ascii="Times New Roman" w:hAnsi="Times New Roman" w:cs="Times New Roman"/>
          <w:sz w:val="24"/>
          <w:szCs w:val="24"/>
        </w:rPr>
        <w:t>n munc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, specifice activităţii pe care o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desfăşoară.</w:t>
      </w:r>
    </w:p>
    <w:p w14:paraId="732777C4" w14:textId="77777777" w:rsidR="00021DF3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5. S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urm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reasca respectarea cu stricteţe de către personalul de pază, a obligaţiilor privind</w:t>
      </w:r>
      <w:r w:rsidR="00021DF3">
        <w:rPr>
          <w:rFonts w:ascii="Times New Roman" w:hAnsi="Times New Roman" w:cs="Times New Roman"/>
          <w:sz w:val="24"/>
          <w:szCs w:val="24"/>
        </w:rPr>
        <w:t xml:space="preserve">  </w:t>
      </w:r>
      <w:r w:rsidRPr="00723C80">
        <w:rPr>
          <w:rFonts w:ascii="Times New Roman" w:hAnsi="Times New Roman" w:cs="Times New Roman"/>
          <w:sz w:val="24"/>
          <w:szCs w:val="24"/>
        </w:rPr>
        <w:t>circulaţia pe căile de acces din cadrul punctului de lucru, a măsurilor tehnice privind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zona de pază, de interzicere a fumatului în locuri nepermise precum şi locurile de muncă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periculoase. </w:t>
      </w:r>
    </w:p>
    <w:p w14:paraId="7A215F8F" w14:textId="0A8032BF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Pe toată perioada activităţii personalul de pază al contractantului va purta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(pentru identificare) asupra lui legitimaţia personală şi ecusonul.</w:t>
      </w:r>
    </w:p>
    <w:p w14:paraId="3F5AE467" w14:textId="4C8F64AC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lastRenderedPageBreak/>
        <w:t>6. Să supravegheze personalul din subordine privind respectarea reglementarilor specifice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de securitate </w:t>
      </w:r>
      <w:r w:rsidR="00021DF3">
        <w:rPr>
          <w:rFonts w:ascii="Times New Roman" w:hAnsi="Times New Roman" w:cs="Times New Roman"/>
          <w:sz w:val="24"/>
          <w:szCs w:val="24"/>
        </w:rPr>
        <w:t>ș</w:t>
      </w:r>
      <w:r w:rsidR="00021DF3" w:rsidRPr="00723C80">
        <w:rPr>
          <w:rFonts w:ascii="Times New Roman" w:hAnsi="Times New Roman" w:cs="Times New Roman"/>
          <w:sz w:val="24"/>
          <w:szCs w:val="24"/>
        </w:rPr>
        <w:t>i s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="00021DF3" w:rsidRPr="00723C80">
        <w:rPr>
          <w:rFonts w:ascii="Times New Roman" w:hAnsi="Times New Roman" w:cs="Times New Roman"/>
          <w:sz w:val="24"/>
          <w:szCs w:val="24"/>
        </w:rPr>
        <w:t>n</w:t>
      </w:r>
      <w:r w:rsidR="00021DF3">
        <w:rPr>
          <w:rFonts w:ascii="Times New Roman" w:hAnsi="Times New Roman" w:cs="Times New Roman"/>
          <w:sz w:val="24"/>
          <w:szCs w:val="24"/>
        </w:rPr>
        <w:t>ă</w:t>
      </w:r>
      <w:r w:rsidR="00021DF3"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021DF3">
        <w:rPr>
          <w:rFonts w:ascii="Times New Roman" w:hAnsi="Times New Roman" w:cs="Times New Roman"/>
          <w:sz w:val="24"/>
          <w:szCs w:val="24"/>
        </w:rPr>
        <w:t>î</w:t>
      </w:r>
      <w:r w:rsidR="00021DF3" w:rsidRPr="00723C80">
        <w:rPr>
          <w:rFonts w:ascii="Times New Roman" w:hAnsi="Times New Roman" w:cs="Times New Roman"/>
          <w:sz w:val="24"/>
          <w:szCs w:val="24"/>
        </w:rPr>
        <w:t>n munc</w:t>
      </w:r>
      <w:r w:rsidR="00021DF3">
        <w:rPr>
          <w:rFonts w:ascii="Times New Roman" w:hAnsi="Times New Roman" w:cs="Times New Roman"/>
          <w:sz w:val="24"/>
          <w:szCs w:val="24"/>
        </w:rPr>
        <w:t>ă ș</w:t>
      </w:r>
      <w:r w:rsidRPr="00723C80">
        <w:rPr>
          <w:rFonts w:ascii="Times New Roman" w:hAnsi="Times New Roman" w:cs="Times New Roman"/>
          <w:sz w:val="24"/>
          <w:szCs w:val="24"/>
        </w:rPr>
        <w:t>i SU, pentru prevenirea accidentelor de muncă şi a</w:t>
      </w:r>
      <w:r w:rsidR="00021DF3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îmbolnăvirilor profesionale.</w:t>
      </w:r>
    </w:p>
    <w:p w14:paraId="18D661D4" w14:textId="44E8FAFF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7. S</w:t>
      </w:r>
      <w:r w:rsidR="00AB3A6A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interzic</w:t>
      </w:r>
      <w:r w:rsidR="00AB3A6A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accesul salariaţilor la muncă în stare avansată de oboseală, de boală sau de</w:t>
      </w:r>
      <w:r w:rsidR="00AB3A6A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ebrietate precum şi consumarea băuturilor alcoolice înainte sau în timpul serviciului.</w:t>
      </w:r>
    </w:p>
    <w:p w14:paraId="3A3726BD" w14:textId="37C3A96E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8. Să nu modifice componen</w:t>
      </w:r>
      <w:r w:rsidR="00AB3A6A">
        <w:rPr>
          <w:rFonts w:ascii="Times New Roman" w:hAnsi="Times New Roman" w:cs="Times New Roman"/>
          <w:sz w:val="24"/>
          <w:szCs w:val="24"/>
        </w:rPr>
        <w:t>ța</w:t>
      </w:r>
      <w:r w:rsidRPr="00723C80">
        <w:rPr>
          <w:rFonts w:ascii="Times New Roman" w:hAnsi="Times New Roman" w:cs="Times New Roman"/>
          <w:sz w:val="24"/>
          <w:szCs w:val="24"/>
        </w:rPr>
        <w:t xml:space="preserve"> personalului ce efectuează paza fără ca acesta să fie instruit</w:t>
      </w:r>
      <w:r w:rsidR="00AB3A6A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din punct de vedere al securităţii </w:t>
      </w:r>
      <w:r w:rsidR="00AB3A6A">
        <w:rPr>
          <w:rFonts w:ascii="Times New Roman" w:hAnsi="Times New Roman" w:cs="Times New Roman"/>
          <w:sz w:val="24"/>
          <w:szCs w:val="24"/>
        </w:rPr>
        <w:t>ș</w:t>
      </w:r>
      <w:r w:rsidR="00AB3A6A" w:rsidRPr="00723C80">
        <w:rPr>
          <w:rFonts w:ascii="Times New Roman" w:hAnsi="Times New Roman" w:cs="Times New Roman"/>
          <w:sz w:val="24"/>
          <w:szCs w:val="24"/>
        </w:rPr>
        <w:t>i s</w:t>
      </w:r>
      <w:r w:rsidR="00AB3A6A">
        <w:rPr>
          <w:rFonts w:ascii="Times New Roman" w:hAnsi="Times New Roman" w:cs="Times New Roman"/>
          <w:sz w:val="24"/>
          <w:szCs w:val="24"/>
        </w:rPr>
        <w:t>ă</w:t>
      </w:r>
      <w:r w:rsidR="00AB3A6A" w:rsidRPr="00723C80">
        <w:rPr>
          <w:rFonts w:ascii="Times New Roman" w:hAnsi="Times New Roman" w:cs="Times New Roman"/>
          <w:sz w:val="24"/>
          <w:szCs w:val="24"/>
        </w:rPr>
        <w:t>n</w:t>
      </w:r>
      <w:r w:rsidR="00AB3A6A">
        <w:rPr>
          <w:rFonts w:ascii="Times New Roman" w:hAnsi="Times New Roman" w:cs="Times New Roman"/>
          <w:sz w:val="24"/>
          <w:szCs w:val="24"/>
        </w:rPr>
        <w:t>ă</w:t>
      </w:r>
      <w:r w:rsidR="00AB3A6A"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AB3A6A">
        <w:rPr>
          <w:rFonts w:ascii="Times New Roman" w:hAnsi="Times New Roman" w:cs="Times New Roman"/>
          <w:sz w:val="24"/>
          <w:szCs w:val="24"/>
        </w:rPr>
        <w:t>î</w:t>
      </w:r>
      <w:r w:rsidR="00AB3A6A" w:rsidRPr="00723C80">
        <w:rPr>
          <w:rFonts w:ascii="Times New Roman" w:hAnsi="Times New Roman" w:cs="Times New Roman"/>
          <w:sz w:val="24"/>
          <w:szCs w:val="24"/>
        </w:rPr>
        <w:t>n munc</w:t>
      </w:r>
      <w:r w:rsidR="00AB3A6A">
        <w:rPr>
          <w:rFonts w:ascii="Times New Roman" w:hAnsi="Times New Roman" w:cs="Times New Roman"/>
          <w:sz w:val="24"/>
          <w:szCs w:val="24"/>
        </w:rPr>
        <w:t xml:space="preserve">ă </w:t>
      </w:r>
      <w:r w:rsidRPr="00723C80">
        <w:rPr>
          <w:rFonts w:ascii="Times New Roman" w:hAnsi="Times New Roman" w:cs="Times New Roman"/>
          <w:sz w:val="24"/>
          <w:szCs w:val="24"/>
        </w:rPr>
        <w:t>şi al SU.</w:t>
      </w:r>
    </w:p>
    <w:p w14:paraId="59AD6C8E" w14:textId="1237BE35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9. Să doteze personalul de pază cu echipament de protecţie sau echipament de lucru şi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mijloace de protecţie corespunzatoare activităţii pe care o desfăşoară.</w:t>
      </w:r>
    </w:p>
    <w:p w14:paraId="7B3085DA" w14:textId="6C61FE14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10. Personalul contractantului nu are voie să părăsească locul de muncă delimitat, să se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abată de la traseele de acces indicate de beneficiar sau să intre în instalaţiile aflate în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exploatare la Beneficiar.</w:t>
      </w:r>
    </w:p>
    <w:p w14:paraId="2AB8538E" w14:textId="2159D4B0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11. În timpul executării activităţiilor personalul contractantului este obligat să respecte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normele specifice de securitate </w:t>
      </w:r>
      <w:r w:rsidR="00982E44">
        <w:rPr>
          <w:rFonts w:ascii="Times New Roman" w:hAnsi="Times New Roman" w:cs="Times New Roman"/>
          <w:sz w:val="24"/>
          <w:szCs w:val="24"/>
        </w:rPr>
        <w:t>ș</w:t>
      </w:r>
      <w:r w:rsidR="00982E44" w:rsidRPr="00723C80">
        <w:rPr>
          <w:rFonts w:ascii="Times New Roman" w:hAnsi="Times New Roman" w:cs="Times New Roman"/>
          <w:sz w:val="24"/>
          <w:szCs w:val="24"/>
        </w:rPr>
        <w:t>i s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="00982E44" w:rsidRPr="00723C80">
        <w:rPr>
          <w:rFonts w:ascii="Times New Roman" w:hAnsi="Times New Roman" w:cs="Times New Roman"/>
          <w:sz w:val="24"/>
          <w:szCs w:val="24"/>
        </w:rPr>
        <w:t>n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="00982E44"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982E44">
        <w:rPr>
          <w:rFonts w:ascii="Times New Roman" w:hAnsi="Times New Roman" w:cs="Times New Roman"/>
          <w:sz w:val="24"/>
          <w:szCs w:val="24"/>
        </w:rPr>
        <w:t>î</w:t>
      </w:r>
      <w:r w:rsidR="00982E44" w:rsidRPr="00723C80">
        <w:rPr>
          <w:rFonts w:ascii="Times New Roman" w:hAnsi="Times New Roman" w:cs="Times New Roman"/>
          <w:sz w:val="24"/>
          <w:szCs w:val="24"/>
        </w:rPr>
        <w:t>n munc</w:t>
      </w:r>
      <w:r w:rsidR="00982E44">
        <w:rPr>
          <w:rFonts w:ascii="Times New Roman" w:hAnsi="Times New Roman" w:cs="Times New Roman"/>
          <w:sz w:val="24"/>
          <w:szCs w:val="24"/>
        </w:rPr>
        <w:t>ă ș</w:t>
      </w:r>
      <w:r w:rsidRPr="00723C80">
        <w:rPr>
          <w:rFonts w:ascii="Times New Roman" w:hAnsi="Times New Roman" w:cs="Times New Roman"/>
          <w:sz w:val="24"/>
          <w:szCs w:val="24"/>
        </w:rPr>
        <w:t xml:space="preserve">i SU </w:t>
      </w:r>
      <w:r w:rsidR="00982E44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poartă r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spunderea pentru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toate accidentele de muncă şi îmbolnavirile profesionale produse din vina sa.</w:t>
      </w:r>
    </w:p>
    <w:p w14:paraId="746896B9" w14:textId="5A6A8A7A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12. Să ia masurile ce se impun privind respectarea reglementarilor de securitate </w:t>
      </w:r>
      <w:r w:rsidR="00982E44">
        <w:rPr>
          <w:rFonts w:ascii="Times New Roman" w:hAnsi="Times New Roman" w:cs="Times New Roman"/>
          <w:sz w:val="24"/>
          <w:szCs w:val="24"/>
        </w:rPr>
        <w:t>ș</w:t>
      </w:r>
      <w:r w:rsidR="00982E44" w:rsidRPr="00723C80">
        <w:rPr>
          <w:rFonts w:ascii="Times New Roman" w:hAnsi="Times New Roman" w:cs="Times New Roman"/>
          <w:sz w:val="24"/>
          <w:szCs w:val="24"/>
        </w:rPr>
        <w:t>i s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="00982E44" w:rsidRPr="00723C80">
        <w:rPr>
          <w:rFonts w:ascii="Times New Roman" w:hAnsi="Times New Roman" w:cs="Times New Roman"/>
          <w:sz w:val="24"/>
          <w:szCs w:val="24"/>
        </w:rPr>
        <w:t>n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="00982E44" w:rsidRPr="00723C80">
        <w:rPr>
          <w:rFonts w:ascii="Times New Roman" w:hAnsi="Times New Roman" w:cs="Times New Roman"/>
          <w:sz w:val="24"/>
          <w:szCs w:val="24"/>
        </w:rPr>
        <w:t xml:space="preserve">tatea </w:t>
      </w:r>
      <w:r w:rsidR="00982E44">
        <w:rPr>
          <w:rFonts w:ascii="Times New Roman" w:hAnsi="Times New Roman" w:cs="Times New Roman"/>
          <w:sz w:val="24"/>
          <w:szCs w:val="24"/>
        </w:rPr>
        <w:t>î</w:t>
      </w:r>
      <w:r w:rsidR="00982E44" w:rsidRPr="00723C80">
        <w:rPr>
          <w:rFonts w:ascii="Times New Roman" w:hAnsi="Times New Roman" w:cs="Times New Roman"/>
          <w:sz w:val="24"/>
          <w:szCs w:val="24"/>
        </w:rPr>
        <w:t>n munc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>, ordinei şi disciplinei în cazul în care beneficiarul sesizează unele deficienţe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care nu respectă prezenta convenţie.</w:t>
      </w:r>
    </w:p>
    <w:p w14:paraId="1DCE0E7E" w14:textId="641212C7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13. Să interzică primirea la lucru şi încredinţarea sarcinilor de serviciu persoanelor care nu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poartă echipamentul de protectie şi de lucru, corespunzător meseriei şi condiţiilor în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care lucrează.</w:t>
      </w:r>
    </w:p>
    <w:p w14:paraId="0D3FE40F" w14:textId="77777777" w:rsidR="00982E44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14. Accesul auto este permis numai pe porţile de acces, convenite de comun acord cu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conducerea instituției Beneficiare şi numai pentru realizarea lucrărilor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contractate.</w:t>
      </w:r>
    </w:p>
    <w:p w14:paraId="25E4CA01" w14:textId="4F3BDC25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Conducatorii auto au obligaţia să se supună controlului la poarta, atât la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intrare cât şi la ieşire. Nu se vor bloca căile de acces către mijloacele de protecţie şi SU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din cadrul instituției.</w:t>
      </w:r>
    </w:p>
    <w:p w14:paraId="5526535E" w14:textId="77777777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15. Se interzice descompletarea mijloacelor SU din dotarea Beneficiarului.</w:t>
      </w:r>
    </w:p>
    <w:p w14:paraId="39DF09EB" w14:textId="77777777" w:rsidR="00982E44" w:rsidRP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CEC1D4E" w14:textId="1155B569" w:rsidR="00723C80" w:rsidRPr="00982E44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E4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82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E44">
        <w:rPr>
          <w:rFonts w:ascii="Times New Roman" w:hAnsi="Times New Roman" w:cs="Times New Roman"/>
          <w:b/>
          <w:bCs/>
          <w:sz w:val="24"/>
          <w:szCs w:val="24"/>
        </w:rPr>
        <w:t>II. SARCINILE AUTORITĂȚII CONTRACTANTE</w:t>
      </w:r>
    </w:p>
    <w:p w14:paraId="507BBE78" w14:textId="77777777" w:rsidR="00723C80" w:rsidRPr="00982E44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501A8" w14:textId="2F3CB679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1. Autoritatea contractantă va elibera autorizaţii de acces în unitate, pe baza tabelului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aprobat de conducerea contractantului.</w:t>
      </w:r>
    </w:p>
    <w:p w14:paraId="0DF979EE" w14:textId="77777777" w:rsidR="00982E44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2. Autoritatea contractantă va asigura instructajul echipei contractantului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în prima zi de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lucru. Instructajul va cuprinde o prezentare generală a riscurilor de accidentare şi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îmbolnăvire profesională specifice activităţilor desfăşurate în instituție şi o prezentare a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legislaţiei în vigoare de SSM </w:t>
      </w:r>
      <w:r w:rsidR="00982E44">
        <w:rPr>
          <w:rFonts w:ascii="Times New Roman" w:hAnsi="Times New Roman" w:cs="Times New Roman"/>
          <w:sz w:val="24"/>
          <w:szCs w:val="24"/>
        </w:rPr>
        <w:t>ș</w:t>
      </w:r>
      <w:r w:rsidRPr="00723C80">
        <w:rPr>
          <w:rFonts w:ascii="Times New Roman" w:hAnsi="Times New Roman" w:cs="Times New Roman"/>
          <w:sz w:val="24"/>
          <w:szCs w:val="24"/>
        </w:rPr>
        <w:t>i SU.</w:t>
      </w:r>
    </w:p>
    <w:p w14:paraId="22C4DE68" w14:textId="7006B50D" w:rsidR="00723C80" w:rsidRPr="00723C80" w:rsidRDefault="00982E44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3C80" w:rsidRPr="00723C80">
        <w:rPr>
          <w:rFonts w:ascii="Times New Roman" w:hAnsi="Times New Roman" w:cs="Times New Roman"/>
          <w:sz w:val="24"/>
          <w:szCs w:val="24"/>
        </w:rPr>
        <w:t>Cu această ocazie autoritatea contractantă va intocmi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C80" w:rsidRPr="00723C80">
        <w:rPr>
          <w:rFonts w:ascii="Times New Roman" w:hAnsi="Times New Roman" w:cs="Times New Roman"/>
          <w:sz w:val="24"/>
          <w:szCs w:val="24"/>
        </w:rPr>
        <w:t>un PV de instruire, care se va anexa la prezenta convenţie.</w:t>
      </w:r>
    </w:p>
    <w:p w14:paraId="759503B6" w14:textId="77777777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3. Autoritatea contractantă va anexa la prezenta convenţie următoarele:</w:t>
      </w:r>
    </w:p>
    <w:p w14:paraId="70BC4557" w14:textId="77777777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 -Lista locurilor de munca periculoase din cadrul instituției;</w:t>
      </w:r>
    </w:p>
    <w:p w14:paraId="01BD0DED" w14:textId="77777777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 -Lista locurilor pentru fumat;</w:t>
      </w:r>
    </w:p>
    <w:p w14:paraId="4CCBDF31" w14:textId="18A67CEC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 -Instructiuni privind “ALARMAREA </w:t>
      </w:r>
      <w:r w:rsidR="00982E44"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CAZ DE INCENDIU”;</w:t>
      </w:r>
    </w:p>
    <w:p w14:paraId="443E2715" w14:textId="77777777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 -Reglementarea privind utilizarea focului deschis;</w:t>
      </w:r>
    </w:p>
    <w:p w14:paraId="5D8E8FBA" w14:textId="653D9ED5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 -Schiţa amplasării clădirii şi a traseelor pe care trebuie să se deplaseze personalul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contractantului;</w:t>
      </w:r>
    </w:p>
    <w:p w14:paraId="67A8190C" w14:textId="68764E38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4. Autoritatea contractantă va efectua controale pe linie de securitate a muncii şi SU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personalului de pază al contractantului, pentru prevenirea accidentelor de muncă şi a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îmbolnăvirilor profesionale.</w:t>
      </w:r>
    </w:p>
    <w:p w14:paraId="56434FAB" w14:textId="6596DCAA" w:rsidR="00723C80" w:rsidRPr="00723C80" w:rsidRDefault="00723C80" w:rsidP="00982E44">
      <w:pPr>
        <w:tabs>
          <w:tab w:val="left" w:pos="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5. La constatarea unor abateri de la reglementările legale şi a reglementărilor consemnate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în această convenţie, Autoritatea contractantă va anunţa contractantul privind neregulile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constatate pentru luarea măsurilor ce se impun.</w:t>
      </w:r>
    </w:p>
    <w:p w14:paraId="2CC6D5F1" w14:textId="77777777" w:rsid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1C51E4C1" w14:textId="77777777" w:rsidR="00982E44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753CD0DC" w14:textId="77777777" w:rsidR="00982E44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6EB07322" w14:textId="77777777" w:rsidR="00982E44" w:rsidRP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2E3FD0F6" w14:textId="30890C16" w:rsidR="00723C80" w:rsidRPr="00982E44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E44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</w:t>
      </w:r>
      <w:r w:rsidR="00982E44" w:rsidRPr="00982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E44">
        <w:rPr>
          <w:rFonts w:ascii="Times New Roman" w:hAnsi="Times New Roman" w:cs="Times New Roman"/>
          <w:b/>
          <w:bCs/>
          <w:sz w:val="24"/>
          <w:szCs w:val="24"/>
        </w:rPr>
        <w:t>III ACCIDENTE DE MUNC</w:t>
      </w:r>
      <w:r w:rsidR="00982E44" w:rsidRPr="00982E4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82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E44" w:rsidRPr="00982E44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982E44">
        <w:rPr>
          <w:rFonts w:ascii="Times New Roman" w:hAnsi="Times New Roman" w:cs="Times New Roman"/>
          <w:b/>
          <w:bCs/>
          <w:sz w:val="24"/>
          <w:szCs w:val="24"/>
        </w:rPr>
        <w:t>N INSTALA</w:t>
      </w:r>
      <w:r w:rsidR="00982E44" w:rsidRPr="00982E44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82E44">
        <w:rPr>
          <w:rFonts w:ascii="Times New Roman" w:hAnsi="Times New Roman" w:cs="Times New Roman"/>
          <w:b/>
          <w:bCs/>
          <w:sz w:val="24"/>
          <w:szCs w:val="24"/>
        </w:rPr>
        <w:t>IILE AUTORITĂȚII CONTRACTANTE</w:t>
      </w:r>
    </w:p>
    <w:p w14:paraId="17BC5EAF" w14:textId="77777777" w:rsidR="00982E44" w:rsidRP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75708A2" w14:textId="741562A7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1. Cercetarea accidentelor de muncă produse din vina sau asupra salariaţilor aparţinând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uneia din cele dou</w:t>
      </w:r>
      <w:r w:rsidR="00982E44">
        <w:rPr>
          <w:rFonts w:ascii="Times New Roman" w:hAnsi="Times New Roman" w:cs="Times New Roman"/>
          <w:sz w:val="24"/>
          <w:szCs w:val="24"/>
        </w:rPr>
        <w:t>ă</w:t>
      </w:r>
      <w:r w:rsidRPr="00723C80">
        <w:rPr>
          <w:rFonts w:ascii="Times New Roman" w:hAnsi="Times New Roman" w:cs="Times New Roman"/>
          <w:sz w:val="24"/>
          <w:szCs w:val="24"/>
        </w:rPr>
        <w:t xml:space="preserve"> Părţi (Contractant-Autoritate contractantă</w:t>
      </w:r>
      <w:r w:rsidR="00E975D9">
        <w:rPr>
          <w:rFonts w:ascii="Times New Roman" w:hAnsi="Times New Roman" w:cs="Times New Roman"/>
          <w:sz w:val="24"/>
          <w:szCs w:val="24"/>
        </w:rPr>
        <w:t xml:space="preserve"> promitentă</w:t>
      </w:r>
      <w:r w:rsidRPr="00723C80">
        <w:rPr>
          <w:rFonts w:ascii="Times New Roman" w:hAnsi="Times New Roman" w:cs="Times New Roman"/>
          <w:sz w:val="24"/>
          <w:szCs w:val="24"/>
        </w:rPr>
        <w:t>), se va face în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conformitate cu prevederile şi cu respectarea legislatiei în vigoare.</w:t>
      </w:r>
    </w:p>
    <w:p w14:paraId="6FD12A02" w14:textId="77777777" w:rsidR="00982E44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 xml:space="preserve">2. </w:t>
      </w:r>
      <w:r w:rsidR="00982E44">
        <w:rPr>
          <w:rFonts w:ascii="Times New Roman" w:hAnsi="Times New Roman" w:cs="Times New Roman"/>
          <w:sz w:val="24"/>
          <w:szCs w:val="24"/>
        </w:rPr>
        <w:t>Î</w:t>
      </w:r>
      <w:r w:rsidRPr="00723C80">
        <w:rPr>
          <w:rFonts w:ascii="Times New Roman" w:hAnsi="Times New Roman" w:cs="Times New Roman"/>
          <w:sz w:val="24"/>
          <w:szCs w:val="24"/>
        </w:rPr>
        <w:t>n cazul unor divergenţe între cele două Părţi se va consulta Inspectoratul Teritorial de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 xml:space="preserve">Muncă. </w:t>
      </w:r>
    </w:p>
    <w:p w14:paraId="725E76AD" w14:textId="77777777" w:rsidR="00982E44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0AE2EC73" w14:textId="4F9306F5" w:rsidR="00723C80" w:rsidRPr="00723C80" w:rsidRDefault="00723C80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23C80">
        <w:rPr>
          <w:rFonts w:ascii="Times New Roman" w:hAnsi="Times New Roman" w:cs="Times New Roman"/>
          <w:sz w:val="24"/>
          <w:szCs w:val="24"/>
        </w:rPr>
        <w:t>Prezenta convenţie nu substituie actele normative ce legiferează măsurile de</w:t>
      </w:r>
      <w:r w:rsidR="00982E44">
        <w:rPr>
          <w:rFonts w:ascii="Times New Roman" w:hAnsi="Times New Roman" w:cs="Times New Roman"/>
          <w:sz w:val="24"/>
          <w:szCs w:val="24"/>
        </w:rPr>
        <w:t xml:space="preserve"> </w:t>
      </w:r>
      <w:r w:rsidRPr="00723C80">
        <w:rPr>
          <w:rFonts w:ascii="Times New Roman" w:hAnsi="Times New Roman" w:cs="Times New Roman"/>
          <w:sz w:val="24"/>
          <w:szCs w:val="24"/>
        </w:rPr>
        <w:t>securitate şi sănătate a muncii în Romania.</w:t>
      </w:r>
    </w:p>
    <w:p w14:paraId="3E959B85" w14:textId="77777777" w:rsidR="00723C80" w:rsidRDefault="00723C80" w:rsidP="00982E44">
      <w:pPr>
        <w:spacing w:after="0"/>
        <w:ind w:right="-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8E410" w14:textId="7419DF3B" w:rsidR="00723C80" w:rsidRPr="00723C80" w:rsidRDefault="00982E44" w:rsidP="00982E44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28BD">
        <w:rPr>
          <w:rFonts w:ascii="Times New Roman" w:hAnsi="Times New Roman" w:cs="Times New Roman"/>
          <w:b/>
          <w:bCs/>
          <w:color w:val="050505"/>
          <w:sz w:val="24"/>
          <w:szCs w:val="24"/>
        </w:rPr>
        <w:t>Autoritatea contractantă promitentă</w:t>
      </w:r>
      <w:r w:rsidRPr="000C28BD">
        <w:rPr>
          <w:rFonts w:ascii="Times New Roman" w:hAnsi="Times New Roman" w:cs="Times New Roman"/>
          <w:color w:val="050505"/>
          <w:sz w:val="24"/>
          <w:szCs w:val="24"/>
        </w:rPr>
        <w:tab/>
      </w:r>
      <w:r w:rsidRPr="000C28BD">
        <w:rPr>
          <w:rFonts w:ascii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                     </w:t>
      </w:r>
      <w:r w:rsidRPr="000C28BD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0C28BD">
        <w:rPr>
          <w:rFonts w:ascii="Times New Roman" w:hAnsi="Times New Roman" w:cs="Times New Roman"/>
          <w:b/>
          <w:color w:val="050505"/>
          <w:w w:val="105"/>
          <w:sz w:val="24"/>
          <w:szCs w:val="24"/>
        </w:rPr>
        <w:t>Promitent-</w:t>
      </w:r>
      <w:r w:rsidRPr="000C28BD">
        <w:rPr>
          <w:rFonts w:ascii="Times New Roman" w:hAnsi="Times New Roman" w:cs="Times New Roman"/>
          <w:b/>
          <w:color w:val="050505"/>
          <w:spacing w:val="-2"/>
          <w:w w:val="105"/>
          <w:sz w:val="24"/>
          <w:szCs w:val="24"/>
        </w:rPr>
        <w:t>contractant</w:t>
      </w:r>
    </w:p>
    <w:sectPr w:rsidR="00723C80" w:rsidRPr="00723C80" w:rsidSect="00982E44">
      <w:pgSz w:w="12240" w:h="15840"/>
      <w:pgMar w:top="568" w:right="118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7672" w14:textId="77777777" w:rsidR="007E107A" w:rsidRDefault="007E107A" w:rsidP="004A32CC">
      <w:pPr>
        <w:spacing w:after="0" w:line="240" w:lineRule="auto"/>
      </w:pPr>
      <w:r>
        <w:separator/>
      </w:r>
    </w:p>
  </w:endnote>
  <w:endnote w:type="continuationSeparator" w:id="0">
    <w:p w14:paraId="7A81BFD4" w14:textId="77777777" w:rsidR="007E107A" w:rsidRDefault="007E107A" w:rsidP="004A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BCD1" w14:textId="77777777" w:rsidR="007E107A" w:rsidRDefault="007E107A" w:rsidP="004A32CC">
      <w:pPr>
        <w:spacing w:after="0" w:line="240" w:lineRule="auto"/>
      </w:pPr>
      <w:r>
        <w:separator/>
      </w:r>
    </w:p>
  </w:footnote>
  <w:footnote w:type="continuationSeparator" w:id="0">
    <w:p w14:paraId="072DBDBA" w14:textId="77777777" w:rsidR="007E107A" w:rsidRDefault="007E107A" w:rsidP="004A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994"/>
    <w:multiLevelType w:val="hybridMultilevel"/>
    <w:tmpl w:val="5D5C1470"/>
    <w:lvl w:ilvl="0" w:tplc="8AAEAFCA">
      <w:numFmt w:val="bullet"/>
      <w:lvlText w:val="-"/>
      <w:lvlJc w:val="left"/>
      <w:pPr>
        <w:ind w:left="27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EA45901"/>
    <w:multiLevelType w:val="hybridMultilevel"/>
    <w:tmpl w:val="FA8A14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0A1E"/>
    <w:multiLevelType w:val="hybridMultilevel"/>
    <w:tmpl w:val="51C449DA"/>
    <w:lvl w:ilvl="0" w:tplc="2716FD8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" w15:restartNumberingAfterBreak="0">
    <w:nsid w:val="29EF7C11"/>
    <w:multiLevelType w:val="hybridMultilevel"/>
    <w:tmpl w:val="76040284"/>
    <w:lvl w:ilvl="0" w:tplc="1310915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1047D1"/>
    <w:multiLevelType w:val="hybridMultilevel"/>
    <w:tmpl w:val="A38829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81852">
    <w:abstractNumId w:val="3"/>
  </w:num>
  <w:num w:numId="2" w16cid:durableId="252788888">
    <w:abstractNumId w:val="1"/>
  </w:num>
  <w:num w:numId="3" w16cid:durableId="94980969">
    <w:abstractNumId w:val="2"/>
  </w:num>
  <w:num w:numId="4" w16cid:durableId="1756777443">
    <w:abstractNumId w:val="0"/>
  </w:num>
  <w:num w:numId="5" w16cid:durableId="1547596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90"/>
    <w:rsid w:val="00017524"/>
    <w:rsid w:val="00021DF3"/>
    <w:rsid w:val="00027604"/>
    <w:rsid w:val="0007033B"/>
    <w:rsid w:val="00076307"/>
    <w:rsid w:val="00083732"/>
    <w:rsid w:val="0009630D"/>
    <w:rsid w:val="001159AF"/>
    <w:rsid w:val="0012543E"/>
    <w:rsid w:val="00197302"/>
    <w:rsid w:val="001A1BBA"/>
    <w:rsid w:val="001A36CA"/>
    <w:rsid w:val="001E2A44"/>
    <w:rsid w:val="002240DD"/>
    <w:rsid w:val="00246D84"/>
    <w:rsid w:val="00273DBC"/>
    <w:rsid w:val="00287E84"/>
    <w:rsid w:val="002A795E"/>
    <w:rsid w:val="002D4E1C"/>
    <w:rsid w:val="0030037B"/>
    <w:rsid w:val="00304404"/>
    <w:rsid w:val="0033474F"/>
    <w:rsid w:val="0034083D"/>
    <w:rsid w:val="003462A6"/>
    <w:rsid w:val="00354B63"/>
    <w:rsid w:val="00361766"/>
    <w:rsid w:val="003648D5"/>
    <w:rsid w:val="003B677D"/>
    <w:rsid w:val="003C6D9D"/>
    <w:rsid w:val="003E1F40"/>
    <w:rsid w:val="00447DE9"/>
    <w:rsid w:val="004521EB"/>
    <w:rsid w:val="00472B29"/>
    <w:rsid w:val="00493950"/>
    <w:rsid w:val="00497A0D"/>
    <w:rsid w:val="004A32CC"/>
    <w:rsid w:val="004A3FF9"/>
    <w:rsid w:val="004A671E"/>
    <w:rsid w:val="004D6E2B"/>
    <w:rsid w:val="004E2E2D"/>
    <w:rsid w:val="00504EAB"/>
    <w:rsid w:val="00510679"/>
    <w:rsid w:val="005109D4"/>
    <w:rsid w:val="00511462"/>
    <w:rsid w:val="005163F7"/>
    <w:rsid w:val="0052427A"/>
    <w:rsid w:val="00527E1B"/>
    <w:rsid w:val="00536CED"/>
    <w:rsid w:val="00553170"/>
    <w:rsid w:val="00561476"/>
    <w:rsid w:val="005652BC"/>
    <w:rsid w:val="00566BB8"/>
    <w:rsid w:val="0056710F"/>
    <w:rsid w:val="00597F46"/>
    <w:rsid w:val="005B54D3"/>
    <w:rsid w:val="005B7E56"/>
    <w:rsid w:val="006053AB"/>
    <w:rsid w:val="0061501A"/>
    <w:rsid w:val="00635490"/>
    <w:rsid w:val="00673392"/>
    <w:rsid w:val="006B40F7"/>
    <w:rsid w:val="006C2C3A"/>
    <w:rsid w:val="00714B84"/>
    <w:rsid w:val="00715A09"/>
    <w:rsid w:val="00723C80"/>
    <w:rsid w:val="00724AEC"/>
    <w:rsid w:val="00727C1B"/>
    <w:rsid w:val="0073780E"/>
    <w:rsid w:val="00752C55"/>
    <w:rsid w:val="00767892"/>
    <w:rsid w:val="00773568"/>
    <w:rsid w:val="00795213"/>
    <w:rsid w:val="007D50CD"/>
    <w:rsid w:val="007E107A"/>
    <w:rsid w:val="007E2FAB"/>
    <w:rsid w:val="0084363E"/>
    <w:rsid w:val="008F7293"/>
    <w:rsid w:val="00931A4F"/>
    <w:rsid w:val="009428E3"/>
    <w:rsid w:val="00954B9C"/>
    <w:rsid w:val="009567B4"/>
    <w:rsid w:val="00966070"/>
    <w:rsid w:val="00982E44"/>
    <w:rsid w:val="009B0BB5"/>
    <w:rsid w:val="009E442A"/>
    <w:rsid w:val="009F7EBD"/>
    <w:rsid w:val="00A0640B"/>
    <w:rsid w:val="00A20A21"/>
    <w:rsid w:val="00A22DA5"/>
    <w:rsid w:val="00A23C19"/>
    <w:rsid w:val="00A367D5"/>
    <w:rsid w:val="00A74513"/>
    <w:rsid w:val="00A97C34"/>
    <w:rsid w:val="00AB3A6A"/>
    <w:rsid w:val="00B00E16"/>
    <w:rsid w:val="00B07416"/>
    <w:rsid w:val="00B163DA"/>
    <w:rsid w:val="00B46FA2"/>
    <w:rsid w:val="00B47D94"/>
    <w:rsid w:val="00B645CD"/>
    <w:rsid w:val="00B71486"/>
    <w:rsid w:val="00B81034"/>
    <w:rsid w:val="00BA3080"/>
    <w:rsid w:val="00BB70B0"/>
    <w:rsid w:val="00BD3A76"/>
    <w:rsid w:val="00BD70DD"/>
    <w:rsid w:val="00C303BA"/>
    <w:rsid w:val="00C335E7"/>
    <w:rsid w:val="00C44F7D"/>
    <w:rsid w:val="00C4610B"/>
    <w:rsid w:val="00C514F3"/>
    <w:rsid w:val="00C56097"/>
    <w:rsid w:val="00C56F51"/>
    <w:rsid w:val="00C57AA6"/>
    <w:rsid w:val="00C84441"/>
    <w:rsid w:val="00C9657A"/>
    <w:rsid w:val="00CA1B57"/>
    <w:rsid w:val="00CA5177"/>
    <w:rsid w:val="00CB6D17"/>
    <w:rsid w:val="00CC4D74"/>
    <w:rsid w:val="00CD3201"/>
    <w:rsid w:val="00CF2587"/>
    <w:rsid w:val="00D2743E"/>
    <w:rsid w:val="00D275F8"/>
    <w:rsid w:val="00D91F79"/>
    <w:rsid w:val="00D94A4B"/>
    <w:rsid w:val="00DB5544"/>
    <w:rsid w:val="00DC1E3F"/>
    <w:rsid w:val="00DD23FA"/>
    <w:rsid w:val="00DD2CA5"/>
    <w:rsid w:val="00DF0B8F"/>
    <w:rsid w:val="00E12DE9"/>
    <w:rsid w:val="00E24689"/>
    <w:rsid w:val="00E42CF5"/>
    <w:rsid w:val="00E975D9"/>
    <w:rsid w:val="00EB2518"/>
    <w:rsid w:val="00F07456"/>
    <w:rsid w:val="00F117E9"/>
    <w:rsid w:val="00F2188E"/>
    <w:rsid w:val="00F30636"/>
    <w:rsid w:val="00F42985"/>
    <w:rsid w:val="00F54309"/>
    <w:rsid w:val="00F63665"/>
    <w:rsid w:val="00F671BA"/>
    <w:rsid w:val="00FB58D2"/>
    <w:rsid w:val="00FC7F28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84FD"/>
  <w15:docId w15:val="{A59082D4-3EBF-4CB0-923D-CE2CCFB2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7604"/>
    <w:pPr>
      <w:widowControl w:val="0"/>
      <w:autoSpaceDE w:val="0"/>
      <w:autoSpaceDN w:val="0"/>
      <w:spacing w:before="90" w:after="0" w:line="240" w:lineRule="auto"/>
      <w:ind w:left="1191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60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73DBC"/>
    <w:pPr>
      <w:ind w:left="720"/>
      <w:contextualSpacing/>
    </w:pPr>
  </w:style>
  <w:style w:type="table" w:styleId="TableGrid">
    <w:name w:val="Table Grid"/>
    <w:basedOn w:val="TableNormal"/>
    <w:uiPriority w:val="39"/>
    <w:rsid w:val="005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C"/>
  </w:style>
  <w:style w:type="paragraph" w:styleId="Footer">
    <w:name w:val="footer"/>
    <w:basedOn w:val="Normal"/>
    <w:link w:val="FooterChar"/>
    <w:uiPriority w:val="99"/>
    <w:unhideWhenUsed/>
    <w:rsid w:val="004A3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C"/>
  </w:style>
  <w:style w:type="paragraph" w:styleId="BalloonText">
    <w:name w:val="Balloon Text"/>
    <w:basedOn w:val="Normal"/>
    <w:link w:val="BalloonTextChar"/>
    <w:uiPriority w:val="99"/>
    <w:semiHidden/>
    <w:unhideWhenUsed/>
    <w:rsid w:val="0036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470D-1139-410D-B024-FBFE3410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v</dc:creator>
  <cp:lastModifiedBy>Timpark Timisoara</cp:lastModifiedBy>
  <cp:revision>3</cp:revision>
  <cp:lastPrinted>2023-01-27T11:09:00Z</cp:lastPrinted>
  <dcterms:created xsi:type="dcterms:W3CDTF">2023-11-02T11:56:00Z</dcterms:created>
  <dcterms:modified xsi:type="dcterms:W3CDTF">2023-11-02T11:57:00Z</dcterms:modified>
</cp:coreProperties>
</file>